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2CB7" w14:textId="77777777" w:rsidR="00654F06" w:rsidRPr="006E3DAD" w:rsidRDefault="00654F06" w:rsidP="00654F06">
      <w:pPr>
        <w:keepNext/>
        <w:jc w:val="center"/>
        <w:outlineLvl w:val="0"/>
        <w:rPr>
          <w:rFonts w:eastAsia="Times New Roman" w:cs="Arial"/>
          <w:b/>
          <w:sz w:val="28"/>
          <w:szCs w:val="24"/>
          <w:lang w:eastAsia="cs-CZ"/>
        </w:rPr>
      </w:pPr>
      <w:r w:rsidRPr="006E3DAD">
        <w:rPr>
          <w:rFonts w:eastAsia="Times New Roman" w:cs="Arial"/>
          <w:b/>
          <w:sz w:val="28"/>
          <w:szCs w:val="24"/>
          <w:lang w:eastAsia="cs-CZ"/>
        </w:rPr>
        <w:t>Informace o ochraně osobních údajů pro poškozené a další subjekty údajů</w:t>
      </w:r>
    </w:p>
    <w:p w14:paraId="2D626576" w14:textId="77777777" w:rsidR="00654F06" w:rsidRPr="006E3DAD" w:rsidRDefault="00654F06" w:rsidP="00654F06">
      <w:pPr>
        <w:jc w:val="center"/>
        <w:rPr>
          <w:rFonts w:eastAsia="Times New Roman" w:cs="Arial"/>
          <w:szCs w:val="24"/>
          <w:lang w:eastAsia="cs-CZ"/>
        </w:rPr>
      </w:pPr>
    </w:p>
    <w:p w14:paraId="32DB38CF" w14:textId="77777777" w:rsidR="00654F06" w:rsidRPr="006E3DAD" w:rsidRDefault="00654F06" w:rsidP="00654F06">
      <w:pPr>
        <w:jc w:val="both"/>
        <w:rPr>
          <w:rFonts w:eastAsia="Times New Roman" w:cs="Arial"/>
          <w:szCs w:val="24"/>
          <w:lang w:eastAsia="cs-CZ"/>
        </w:rPr>
      </w:pPr>
    </w:p>
    <w:p w14:paraId="1F1F27FB"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Tímto Vás informujeme o zpracování Vašich osobních údajů a o Vašich právech podle obecného nařízení o ochraně osobních údajů 2016/679 (dále jen „GDPR“).</w:t>
      </w:r>
    </w:p>
    <w:p w14:paraId="094D864E" w14:textId="77777777" w:rsidR="00654F06" w:rsidRPr="006E3DAD" w:rsidRDefault="00654F06" w:rsidP="00654F06">
      <w:pPr>
        <w:jc w:val="both"/>
        <w:rPr>
          <w:rFonts w:eastAsia="Times New Roman" w:cs="Arial"/>
          <w:szCs w:val="24"/>
          <w:lang w:eastAsia="cs-CZ"/>
        </w:rPr>
      </w:pPr>
    </w:p>
    <w:p w14:paraId="7E2601B3" w14:textId="77777777" w:rsidR="00654F06" w:rsidRPr="006E3DAD" w:rsidRDefault="00654F06" w:rsidP="00654F06">
      <w:pPr>
        <w:jc w:val="both"/>
        <w:rPr>
          <w:rFonts w:eastAsia="Times New Roman" w:cs="Arial"/>
          <w:b/>
          <w:szCs w:val="24"/>
          <w:lang w:eastAsia="cs-CZ"/>
        </w:rPr>
      </w:pPr>
      <w:r w:rsidRPr="006E3DAD">
        <w:rPr>
          <w:rFonts w:eastAsia="Times New Roman" w:cs="Arial"/>
          <w:b/>
          <w:szCs w:val="24"/>
          <w:lang w:eastAsia="cs-CZ"/>
        </w:rPr>
        <w:t>Kdo je odpovědný za zpracování Vašich osobních údajů (správce osobních údajů)?</w:t>
      </w:r>
    </w:p>
    <w:p w14:paraId="131C260B" w14:textId="77777777" w:rsidR="00654F06" w:rsidRPr="006E3DAD" w:rsidRDefault="00654F06" w:rsidP="00654F06">
      <w:pPr>
        <w:jc w:val="both"/>
        <w:rPr>
          <w:rFonts w:eastAsia="Times New Roman" w:cs="Arial"/>
          <w:b/>
          <w:szCs w:val="24"/>
          <w:lang w:eastAsia="cs-CZ"/>
        </w:rPr>
      </w:pPr>
    </w:p>
    <w:p w14:paraId="39EC2AC5" w14:textId="77777777" w:rsidR="00654F06" w:rsidRPr="002E3E78" w:rsidRDefault="00654F06" w:rsidP="00654F06">
      <w:pPr>
        <w:jc w:val="both"/>
        <w:rPr>
          <w:rFonts w:eastAsia="Times New Roman" w:cs="Arial"/>
          <w:b/>
          <w:szCs w:val="24"/>
          <w:lang w:eastAsia="cs-CZ"/>
        </w:rPr>
      </w:pPr>
      <w:r>
        <w:rPr>
          <w:rFonts w:eastAsia="Times New Roman" w:cs="Arial"/>
          <w:b/>
          <w:szCs w:val="24"/>
          <w:lang w:eastAsia="cs-CZ"/>
        </w:rPr>
        <w:t>SV PRO-finance spol. s r.o.</w:t>
      </w:r>
    </w:p>
    <w:p w14:paraId="343198F1" w14:textId="77777777" w:rsidR="00654F06" w:rsidRDefault="00654F06" w:rsidP="00654F06">
      <w:pPr>
        <w:jc w:val="both"/>
        <w:rPr>
          <w:rFonts w:ascii="Barlow" w:hAnsi="Barlow"/>
          <w:color w:val="071428"/>
          <w:shd w:val="clear" w:color="auto" w:fill="FFFFFF"/>
        </w:rPr>
      </w:pPr>
      <w:r w:rsidRPr="002E3E78">
        <w:rPr>
          <w:rFonts w:eastAsia="Times New Roman" w:cs="Arial"/>
          <w:szCs w:val="24"/>
          <w:lang w:eastAsia="cs-CZ"/>
        </w:rPr>
        <w:t xml:space="preserve">IČO: </w:t>
      </w:r>
      <w:r>
        <w:rPr>
          <w:rFonts w:ascii="Barlow" w:hAnsi="Barlow"/>
          <w:color w:val="071428"/>
          <w:shd w:val="clear" w:color="auto" w:fill="FFFFFF"/>
        </w:rPr>
        <w:t>26175401</w:t>
      </w:r>
    </w:p>
    <w:p w14:paraId="6DC51310" w14:textId="77777777" w:rsidR="00654F06" w:rsidRPr="002E3E78" w:rsidRDefault="00654F06" w:rsidP="00654F06">
      <w:pPr>
        <w:jc w:val="both"/>
        <w:rPr>
          <w:rFonts w:eastAsia="Times New Roman" w:cs="Arial"/>
          <w:szCs w:val="24"/>
          <w:lang w:eastAsia="cs-CZ"/>
        </w:rPr>
      </w:pPr>
      <w:r w:rsidRPr="002E3E78">
        <w:rPr>
          <w:rFonts w:eastAsia="Times New Roman" w:cs="Arial"/>
          <w:szCs w:val="24"/>
          <w:lang w:eastAsia="cs-CZ"/>
        </w:rPr>
        <w:t>BB Centrum budova BETA</w:t>
      </w:r>
    </w:p>
    <w:p w14:paraId="3C7951E3" w14:textId="77777777" w:rsidR="00654F06" w:rsidRPr="002E3E78" w:rsidRDefault="00654F06" w:rsidP="00654F06">
      <w:pPr>
        <w:jc w:val="both"/>
        <w:rPr>
          <w:rFonts w:eastAsia="Times New Roman" w:cs="Arial"/>
          <w:szCs w:val="24"/>
          <w:lang w:eastAsia="cs-CZ"/>
        </w:rPr>
      </w:pPr>
      <w:r w:rsidRPr="002E3E78">
        <w:rPr>
          <w:rFonts w:eastAsia="Times New Roman" w:cs="Arial"/>
          <w:szCs w:val="24"/>
          <w:lang w:eastAsia="cs-CZ"/>
        </w:rPr>
        <w:t>Vyskočilova 1481/4</w:t>
      </w:r>
    </w:p>
    <w:p w14:paraId="15473BB9" w14:textId="77777777" w:rsidR="00654F06" w:rsidRPr="002E3E78" w:rsidRDefault="00654F06" w:rsidP="00654F06">
      <w:pPr>
        <w:jc w:val="both"/>
        <w:rPr>
          <w:rFonts w:eastAsia="Times New Roman" w:cs="Arial"/>
          <w:szCs w:val="24"/>
          <w:lang w:eastAsia="cs-CZ"/>
        </w:rPr>
      </w:pPr>
      <w:r w:rsidRPr="002E3E78">
        <w:rPr>
          <w:rFonts w:eastAsia="Times New Roman" w:cs="Arial"/>
          <w:szCs w:val="24"/>
          <w:lang w:eastAsia="cs-CZ"/>
        </w:rPr>
        <w:t>14000 Praha 4</w:t>
      </w:r>
    </w:p>
    <w:p w14:paraId="68CADBE8" w14:textId="77777777" w:rsidR="00654F06" w:rsidRPr="002E3E78" w:rsidRDefault="00654F06" w:rsidP="00654F06">
      <w:pPr>
        <w:jc w:val="both"/>
        <w:rPr>
          <w:rFonts w:eastAsia="Times New Roman" w:cs="Arial"/>
          <w:szCs w:val="24"/>
          <w:lang w:eastAsia="cs-CZ"/>
        </w:rPr>
      </w:pPr>
      <w:r w:rsidRPr="002E3E78">
        <w:rPr>
          <w:rFonts w:eastAsia="Times New Roman" w:cs="Arial"/>
          <w:szCs w:val="24"/>
          <w:lang w:eastAsia="cs-CZ"/>
        </w:rPr>
        <w:t>Tel +420 221 585 111</w:t>
      </w:r>
    </w:p>
    <w:p w14:paraId="496339DC" w14:textId="77777777" w:rsidR="00654F06" w:rsidRPr="002E3E78" w:rsidRDefault="00654F06" w:rsidP="00654F06">
      <w:pPr>
        <w:jc w:val="both"/>
        <w:rPr>
          <w:rFonts w:eastAsia="Times New Roman" w:cs="Arial"/>
          <w:szCs w:val="24"/>
          <w:lang w:eastAsia="cs-CZ"/>
        </w:rPr>
      </w:pPr>
      <w:r w:rsidRPr="002E3E78">
        <w:rPr>
          <w:rFonts w:eastAsia="Times New Roman" w:cs="Arial"/>
          <w:szCs w:val="24"/>
          <w:lang w:eastAsia="cs-CZ"/>
        </w:rPr>
        <w:t>info@sv</w:t>
      </w:r>
      <w:r>
        <w:rPr>
          <w:rFonts w:eastAsia="Times New Roman" w:cs="Arial"/>
          <w:szCs w:val="24"/>
          <w:lang w:eastAsia="cs-CZ"/>
        </w:rPr>
        <w:t>profinance</w:t>
      </w:r>
      <w:r w:rsidRPr="002E3E78">
        <w:rPr>
          <w:rFonts w:eastAsia="Times New Roman" w:cs="Arial"/>
          <w:szCs w:val="24"/>
          <w:lang w:eastAsia="cs-CZ"/>
        </w:rPr>
        <w:t>.cz</w:t>
      </w:r>
      <w:r w:rsidRPr="002E3E78">
        <w:rPr>
          <w:rFonts w:eastAsia="Times New Roman" w:cs="Arial"/>
          <w:szCs w:val="24"/>
          <w:lang w:eastAsia="cs-CZ"/>
        </w:rPr>
        <w:cr/>
      </w:r>
    </w:p>
    <w:p w14:paraId="7EAF79F2"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Našeho pověřence pro ochranu osobních údajů můžete kontaktovat na výše uvedené adrese nebo na emailu dpo@svpojistovna.cz.</w:t>
      </w:r>
    </w:p>
    <w:p w14:paraId="2CE62EA1" w14:textId="77777777" w:rsidR="00654F06" w:rsidRPr="006E3DAD" w:rsidRDefault="00654F06" w:rsidP="00654F06">
      <w:pPr>
        <w:jc w:val="both"/>
        <w:rPr>
          <w:rFonts w:eastAsia="Times New Roman" w:cs="Arial"/>
          <w:szCs w:val="24"/>
          <w:lang w:eastAsia="cs-CZ"/>
        </w:rPr>
      </w:pPr>
    </w:p>
    <w:p w14:paraId="159797C1" w14:textId="77777777" w:rsidR="00654F06" w:rsidRPr="006E3DAD" w:rsidRDefault="00654F06" w:rsidP="00654F06">
      <w:pPr>
        <w:jc w:val="both"/>
        <w:rPr>
          <w:rFonts w:eastAsia="Times New Roman" w:cs="Arial"/>
          <w:b/>
          <w:szCs w:val="24"/>
          <w:lang w:eastAsia="cs-CZ"/>
        </w:rPr>
      </w:pPr>
      <w:r w:rsidRPr="006E3DAD">
        <w:rPr>
          <w:rFonts w:eastAsia="Times New Roman" w:cs="Arial"/>
          <w:b/>
          <w:szCs w:val="24"/>
          <w:lang w:eastAsia="cs-CZ"/>
        </w:rPr>
        <w:t>Za jakým účelem a na základě jakého právního základu jsou Vaše osobní údaje zpracovány?</w:t>
      </w:r>
    </w:p>
    <w:p w14:paraId="73A5829B"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Vaše osobní údaje zpracováváme v souladu s požadavky nařízení EU GDPR, zákona o zpracování osobních údajů, zákona o pojišťovnictví a další relevantní legislativy, a to z důvodu, že vystupujete v roli poškozeného, svědka pojistné události nebo lékaře. Vaše osobní údaje jsme získali při nahlášení pojistné události a v nezbytně nutném rozsahu je zpracováváme za účelem vyhodnocení pojistné události. Zdrojem osobních údajů je pro nás obvykle náš klient – pojistník nebo pojištěný. Osobní údaje zpracováváme za účelem ochrany oprávněných zájmů SV pojišťovny nebo třetí strany (čl. 6 odst. 1 písm. f) GDPR).</w:t>
      </w:r>
    </w:p>
    <w:p w14:paraId="2F9056B1" w14:textId="77777777" w:rsidR="00654F06" w:rsidRPr="006E3DAD" w:rsidRDefault="00654F06" w:rsidP="00654F06">
      <w:pPr>
        <w:jc w:val="both"/>
        <w:rPr>
          <w:rFonts w:eastAsia="Times New Roman" w:cs="Arial"/>
          <w:szCs w:val="24"/>
          <w:lang w:eastAsia="cs-CZ"/>
        </w:rPr>
      </w:pPr>
    </w:p>
    <w:p w14:paraId="4F5A8ACF" w14:textId="77777777" w:rsidR="00654F06" w:rsidRPr="006E3DAD" w:rsidRDefault="00654F06" w:rsidP="00654F06">
      <w:pPr>
        <w:pBdr>
          <w:top w:val="single" w:sz="4" w:space="1" w:color="auto"/>
          <w:left w:val="single" w:sz="4" w:space="4" w:color="auto"/>
          <w:bottom w:val="single" w:sz="4" w:space="1" w:color="auto"/>
          <w:right w:val="single" w:sz="4" w:space="4" w:color="auto"/>
        </w:pBdr>
        <w:jc w:val="both"/>
        <w:rPr>
          <w:rFonts w:eastAsia="Times New Roman" w:cs="Arial"/>
          <w:b/>
          <w:szCs w:val="24"/>
          <w:lang w:eastAsia="cs-CZ"/>
        </w:rPr>
      </w:pPr>
      <w:r w:rsidRPr="006E3DAD">
        <w:rPr>
          <w:rFonts w:eastAsia="Times New Roman" w:cs="Arial"/>
          <w:b/>
          <w:szCs w:val="24"/>
          <w:lang w:eastAsia="cs-CZ"/>
        </w:rPr>
        <w:t xml:space="preserve">Právo vznést námitku </w:t>
      </w:r>
    </w:p>
    <w:p w14:paraId="5F8BFE1D" w14:textId="77777777" w:rsidR="00654F06" w:rsidRPr="006E3DAD" w:rsidRDefault="00654F06" w:rsidP="00654F06">
      <w:pPr>
        <w:pBdr>
          <w:top w:val="single" w:sz="4" w:space="1" w:color="auto"/>
          <w:left w:val="single" w:sz="4" w:space="4" w:color="auto"/>
          <w:bottom w:val="single" w:sz="4" w:space="1" w:color="auto"/>
          <w:right w:val="single" w:sz="4" w:space="4" w:color="auto"/>
        </w:pBdr>
        <w:jc w:val="both"/>
        <w:rPr>
          <w:rFonts w:eastAsia="Times New Roman" w:cs="Arial"/>
          <w:szCs w:val="24"/>
          <w:lang w:eastAsia="cs-CZ"/>
        </w:rPr>
      </w:pPr>
      <w:r w:rsidRPr="006E3DAD">
        <w:rPr>
          <w:rFonts w:eastAsia="Times New Roman" w:cs="Arial"/>
          <w:szCs w:val="24"/>
          <w:lang w:eastAsia="cs-CZ"/>
        </w:rPr>
        <w:t>Pokud zpracováváme osobní údaje za účelem ochrany oprávněných zájmů, můžete proti takovému zpracování Vašich osobních údajů, včetně profilování, vznést námitku z důvodu Vaší konkrétní situace.</w:t>
      </w:r>
    </w:p>
    <w:p w14:paraId="18A0935A" w14:textId="77777777" w:rsidR="00654F06" w:rsidRPr="006E3DAD" w:rsidRDefault="00654F06" w:rsidP="00654F06">
      <w:pPr>
        <w:jc w:val="both"/>
        <w:rPr>
          <w:rFonts w:eastAsia="Times New Roman" w:cs="Arial"/>
          <w:szCs w:val="24"/>
          <w:lang w:eastAsia="cs-CZ"/>
        </w:rPr>
      </w:pPr>
    </w:p>
    <w:p w14:paraId="63419DFD" w14:textId="77777777" w:rsidR="00654F06" w:rsidRPr="006E3DAD" w:rsidRDefault="00654F06" w:rsidP="00654F06">
      <w:pPr>
        <w:jc w:val="both"/>
        <w:rPr>
          <w:rFonts w:eastAsia="Times New Roman" w:cs="Arial"/>
          <w:b/>
          <w:szCs w:val="24"/>
          <w:lang w:eastAsia="cs-CZ"/>
        </w:rPr>
      </w:pPr>
      <w:r w:rsidRPr="006E3DAD">
        <w:rPr>
          <w:rFonts w:eastAsia="Times New Roman" w:cs="Arial"/>
          <w:b/>
          <w:szCs w:val="24"/>
          <w:lang w:eastAsia="cs-CZ"/>
        </w:rPr>
        <w:t>Jakým příjemcům posíláme Vaše osobní údaje?</w:t>
      </w:r>
    </w:p>
    <w:p w14:paraId="6756D8E3" w14:textId="77777777" w:rsidR="00654F06" w:rsidRPr="006E3DAD" w:rsidRDefault="00654F06" w:rsidP="00654F06">
      <w:pPr>
        <w:jc w:val="both"/>
        <w:rPr>
          <w:color w:val="C00000"/>
        </w:rPr>
      </w:pPr>
      <w:r w:rsidRPr="006E3DAD">
        <w:rPr>
          <w:color w:val="C00000"/>
        </w:rPr>
        <w:t xml:space="preserve">Zajistitel </w:t>
      </w:r>
    </w:p>
    <w:p w14:paraId="09CB5E7A" w14:textId="77777777" w:rsidR="00654F06" w:rsidRPr="006E3DAD" w:rsidRDefault="00654F06" w:rsidP="00654F06">
      <w:pPr>
        <w:jc w:val="both"/>
      </w:pPr>
      <w:r w:rsidRPr="006E3DAD">
        <w:t xml:space="preserve">Námi převzatá pojistná rizika jsou dále pojišťována specializovanými pojišťovnami – tzv. zajišťovnami. Může být potřebné předat pojistnou smlouvu, nebo také údaje o pojistné události zajistiteli, aby získal informace o pojistném případu a s ním spojeném riziku. </w:t>
      </w:r>
    </w:p>
    <w:p w14:paraId="59F411E9" w14:textId="77777777" w:rsidR="00654F06" w:rsidRPr="006E3DAD" w:rsidRDefault="00654F06" w:rsidP="00654F06">
      <w:pPr>
        <w:jc w:val="both"/>
      </w:pPr>
      <w:r w:rsidRPr="006E3DAD">
        <w:rPr>
          <w:color w:val="C00000"/>
        </w:rPr>
        <w:t>Zpracování osobních údajů v pojišťovací skupině S.V. Holding</w:t>
      </w:r>
      <w:r w:rsidRPr="006E3DAD">
        <w:t xml:space="preserve"> </w:t>
      </w:r>
    </w:p>
    <w:p w14:paraId="035FFC34" w14:textId="77777777" w:rsidR="00654F06" w:rsidRPr="006E3DAD" w:rsidRDefault="00654F06" w:rsidP="00654F06">
      <w:pPr>
        <w:jc w:val="both"/>
      </w:pPr>
      <w:r w:rsidRPr="006E3DAD">
        <w:t xml:space="preserve">V rámci skupiny S.V. Holding jsou některé specifické úkoly vykonávány centrálně, jako například bezpečnostní zálohování dat či technická podpora informačního systému správy a likvidace pojištění, vždy však v rámci Evropského hospodářského prostoru. </w:t>
      </w:r>
    </w:p>
    <w:p w14:paraId="145B013A" w14:textId="77777777" w:rsidR="00654F06" w:rsidRPr="006E3DAD" w:rsidRDefault="00654F06" w:rsidP="00654F06">
      <w:pPr>
        <w:jc w:val="both"/>
        <w:rPr>
          <w:color w:val="C00000"/>
        </w:rPr>
      </w:pPr>
      <w:r w:rsidRPr="006E3DAD">
        <w:rPr>
          <w:color w:val="C00000"/>
        </w:rPr>
        <w:t xml:space="preserve">Externí poskytovatelé služeb </w:t>
      </w:r>
    </w:p>
    <w:p w14:paraId="024AD99A" w14:textId="77777777" w:rsidR="00654F06" w:rsidRPr="006E3DAD" w:rsidRDefault="00654F06" w:rsidP="00654F06">
      <w:pPr>
        <w:jc w:val="both"/>
      </w:pPr>
      <w:r w:rsidRPr="006E3DAD">
        <w:t>Abychom splnili naše smluvní a zákonné povinnosti, spolupracujeme s vybranými externími poskytovateli služeb, kteří mohou zpracovávat osobní údaje. Seznam zpracovatelů je dostupný na svpojistovna.cz/o-</w:t>
      </w:r>
      <w:proofErr w:type="spellStart"/>
      <w:r w:rsidRPr="006E3DAD">
        <w:t>spolecnosti</w:t>
      </w:r>
      <w:proofErr w:type="spellEnd"/>
      <w:r w:rsidRPr="006E3DAD">
        <w:t>/ochrana-</w:t>
      </w:r>
      <w:proofErr w:type="spellStart"/>
      <w:r w:rsidRPr="006E3DAD">
        <w:t>osobnich</w:t>
      </w:r>
      <w:proofErr w:type="spellEnd"/>
      <w:r w:rsidRPr="006E3DAD">
        <w:t>-</w:t>
      </w:r>
      <w:proofErr w:type="spellStart"/>
      <w:r w:rsidRPr="006E3DAD">
        <w:t>udaju</w:t>
      </w:r>
      <w:proofErr w:type="spellEnd"/>
      <w:r w:rsidRPr="006E3DAD">
        <w:t xml:space="preserve">, nebo na vyžádání. </w:t>
      </w:r>
    </w:p>
    <w:p w14:paraId="0C8AA005" w14:textId="77777777" w:rsidR="00654F06" w:rsidRPr="006E3DAD" w:rsidRDefault="00654F06" w:rsidP="00654F06">
      <w:pPr>
        <w:jc w:val="both"/>
        <w:rPr>
          <w:color w:val="C00000"/>
        </w:rPr>
      </w:pPr>
      <w:r w:rsidRPr="006E3DAD">
        <w:rPr>
          <w:color w:val="C00000"/>
        </w:rPr>
        <w:t xml:space="preserve">Poskytovatelé zdravotnických služeb </w:t>
      </w:r>
    </w:p>
    <w:p w14:paraId="3D29A6B4" w14:textId="77777777" w:rsidR="00654F06" w:rsidRPr="006E3DAD" w:rsidRDefault="00654F06" w:rsidP="00654F06">
      <w:pPr>
        <w:jc w:val="both"/>
      </w:pPr>
      <w:r w:rsidRPr="006E3DAD">
        <w:t xml:space="preserve">Při šetření pojistné události může být nutné dožádání zdravotní dokumentace od Vašeho lékaře, nebo vyžádání zdravotního posudku. </w:t>
      </w:r>
    </w:p>
    <w:p w14:paraId="01ED0B6C" w14:textId="77777777" w:rsidR="00654F06" w:rsidRPr="006E3DAD" w:rsidRDefault="00654F06" w:rsidP="00654F06">
      <w:pPr>
        <w:jc w:val="both"/>
        <w:rPr>
          <w:color w:val="C00000"/>
        </w:rPr>
      </w:pPr>
      <w:r w:rsidRPr="006E3DAD">
        <w:rPr>
          <w:color w:val="C00000"/>
        </w:rPr>
        <w:t xml:space="preserve">Další příjemci </w:t>
      </w:r>
    </w:p>
    <w:p w14:paraId="7DDBCFB9" w14:textId="77777777" w:rsidR="00654F06" w:rsidRPr="006E3DAD" w:rsidRDefault="00654F06" w:rsidP="00654F06">
      <w:pPr>
        <w:jc w:val="both"/>
      </w:pPr>
      <w:r w:rsidRPr="006E3DAD">
        <w:t>Můžeme být povinni předávat Vaše osobní údaje dalším příjemcům, například České národní bance.</w:t>
      </w:r>
    </w:p>
    <w:p w14:paraId="74BCF3D4" w14:textId="77777777" w:rsidR="00654F06" w:rsidRPr="006E3DAD" w:rsidRDefault="00654F06" w:rsidP="00654F06">
      <w:pPr>
        <w:jc w:val="both"/>
      </w:pPr>
    </w:p>
    <w:p w14:paraId="0FE2F418" w14:textId="77777777" w:rsidR="00654F06" w:rsidRPr="006E3DAD" w:rsidRDefault="00654F06" w:rsidP="00654F06">
      <w:pPr>
        <w:jc w:val="both"/>
      </w:pPr>
      <w:r w:rsidRPr="006E3DAD">
        <w:lastRenderedPageBreak/>
        <w:t>Vaše osobní údaje nejsou předávány do zemí mimo Evropský hospodářský prostor a při jejich zpracování nedochází k automatizovanému rozhodování ani profilování.</w:t>
      </w:r>
    </w:p>
    <w:p w14:paraId="10BAFBBD" w14:textId="77777777" w:rsidR="00654F06" w:rsidRPr="006E3DAD" w:rsidRDefault="00654F06" w:rsidP="00654F06">
      <w:pPr>
        <w:jc w:val="both"/>
        <w:rPr>
          <w:rFonts w:eastAsia="Times New Roman" w:cs="Arial"/>
          <w:szCs w:val="24"/>
          <w:lang w:eastAsia="cs-CZ"/>
        </w:rPr>
      </w:pPr>
    </w:p>
    <w:p w14:paraId="70582BEB" w14:textId="77777777" w:rsidR="00654F06" w:rsidRPr="006E3DAD" w:rsidRDefault="00654F06" w:rsidP="00654F06">
      <w:pPr>
        <w:jc w:val="both"/>
        <w:rPr>
          <w:rFonts w:eastAsia="Times New Roman" w:cs="Arial"/>
          <w:b/>
          <w:szCs w:val="24"/>
          <w:lang w:eastAsia="cs-CZ"/>
        </w:rPr>
      </w:pPr>
      <w:r w:rsidRPr="006E3DAD">
        <w:rPr>
          <w:rFonts w:eastAsia="Times New Roman" w:cs="Arial"/>
          <w:b/>
          <w:szCs w:val="24"/>
          <w:lang w:eastAsia="cs-CZ"/>
        </w:rPr>
        <w:t xml:space="preserve">Jak dlouho uchováváme osobní údaje? </w:t>
      </w:r>
    </w:p>
    <w:p w14:paraId="0199C14C"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Osobní údaje uchováváme po dobu šetření pojistné události. Osobní údaje dále uchováváme po trvání promlčecí doby dle občanského zákoníku, archivační lhůta od prošetření pojistné události může být až 17 let. Osobní údaje archivujeme také za účelem plnění zákonných archivačních povinností, stanovených zejména v daňových předpisech, zákoně o účetnictví a dále zákoně o některých opatřeních proti legalizaci výnosů z trestné činnosti a financování terorismu.</w:t>
      </w:r>
    </w:p>
    <w:p w14:paraId="02993BE2" w14:textId="77777777" w:rsidR="00654F06" w:rsidRPr="006E3DAD" w:rsidRDefault="00654F06" w:rsidP="00654F06">
      <w:pPr>
        <w:jc w:val="both"/>
        <w:rPr>
          <w:rFonts w:eastAsia="Times New Roman" w:cs="Arial"/>
          <w:szCs w:val="24"/>
          <w:lang w:eastAsia="cs-CZ"/>
        </w:rPr>
      </w:pPr>
    </w:p>
    <w:p w14:paraId="4B9AF437" w14:textId="77777777" w:rsidR="00654F06" w:rsidRPr="006E3DAD" w:rsidRDefault="00654F06" w:rsidP="00654F06">
      <w:pPr>
        <w:jc w:val="both"/>
        <w:rPr>
          <w:b/>
        </w:rPr>
      </w:pPr>
      <w:r w:rsidRPr="006E3DAD">
        <w:rPr>
          <w:b/>
        </w:rPr>
        <w:t xml:space="preserve">Jaká máte práva? </w:t>
      </w:r>
    </w:p>
    <w:p w14:paraId="1297C047" w14:textId="77777777" w:rsidR="00654F06" w:rsidRPr="006E3DAD" w:rsidRDefault="00654F06" w:rsidP="00654F06">
      <w:pPr>
        <w:jc w:val="both"/>
      </w:pPr>
      <w:r w:rsidRPr="006E3DAD">
        <w:t>Kromě práva na námitku, jak je uvedeno výše, máte právo na přístup k Vašim osobním údajům a na jejich opravu, právo na výmaz a právo na omezení zpracování, a dále právo na přenositelnost údajů. Pokud si přejete mít přístup ke svým osobním údajům nebo provést opravu, prosím využijte kontaktní údaje výše. Pokud je zpracování osobních údajů založeno na Vašem souhlasu, máte právo tento souhlas kdykoli odvolat.</w:t>
      </w:r>
    </w:p>
    <w:p w14:paraId="62B82A4C" w14:textId="77777777" w:rsidR="00654F06" w:rsidRPr="006E3DAD" w:rsidRDefault="00654F06" w:rsidP="00654F06">
      <w:pPr>
        <w:jc w:val="both"/>
      </w:pPr>
    </w:p>
    <w:p w14:paraId="4E3BA2E4" w14:textId="77777777" w:rsidR="00654F06" w:rsidRPr="006E3DAD" w:rsidRDefault="00654F06" w:rsidP="00654F06">
      <w:pPr>
        <w:jc w:val="both"/>
        <w:rPr>
          <w:rFonts w:eastAsia="Times New Roman" w:cs="Arial"/>
          <w:b/>
          <w:szCs w:val="24"/>
          <w:lang w:eastAsia="cs-CZ"/>
        </w:rPr>
      </w:pPr>
      <w:r w:rsidRPr="006E3DAD">
        <w:rPr>
          <w:rFonts w:eastAsia="Times New Roman" w:cs="Arial"/>
          <w:b/>
          <w:szCs w:val="24"/>
          <w:lang w:eastAsia="cs-CZ"/>
        </w:rPr>
        <w:t xml:space="preserve">Jak podat stížnost ohledně zpracování osobních údajů? </w:t>
      </w:r>
    </w:p>
    <w:p w14:paraId="60E4D347"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Máte možnost obrátit se na našeho pověřence pro ochranu osobních údajů na emailové adrese dpo@svpojistovna.cz nebo na Úřad pro ochranu osobních údajů na adrese Pplk. Sochora 27, 170 00 Praha 7.</w:t>
      </w:r>
    </w:p>
    <w:p w14:paraId="458A2B73" w14:textId="77777777" w:rsidR="00654F06" w:rsidRPr="006E3DAD" w:rsidRDefault="00654F06" w:rsidP="00654F06">
      <w:pPr>
        <w:jc w:val="both"/>
        <w:rPr>
          <w:rFonts w:eastAsia="Times New Roman" w:cs="Arial"/>
          <w:szCs w:val="24"/>
          <w:lang w:eastAsia="cs-CZ"/>
        </w:rPr>
      </w:pPr>
    </w:p>
    <w:p w14:paraId="60B1C0C1" w14:textId="77777777" w:rsidR="00654F06" w:rsidRPr="006E3DAD" w:rsidRDefault="00654F06" w:rsidP="00654F06">
      <w:pPr>
        <w:jc w:val="both"/>
        <w:rPr>
          <w:rFonts w:eastAsia="Times New Roman" w:cs="Arial"/>
          <w:szCs w:val="24"/>
          <w:lang w:eastAsia="cs-CZ"/>
        </w:rPr>
      </w:pPr>
    </w:p>
    <w:p w14:paraId="1E3C8E1F"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 xml:space="preserve">Aktuální Informace o ochraně osobních údajů naleznete na: </w:t>
      </w:r>
    </w:p>
    <w:p w14:paraId="14250538" w14:textId="77777777" w:rsidR="00654F06" w:rsidRPr="006E3DAD" w:rsidRDefault="00654F06" w:rsidP="00654F06">
      <w:pPr>
        <w:jc w:val="both"/>
        <w:rPr>
          <w:rFonts w:eastAsia="Times New Roman" w:cs="Arial"/>
          <w:szCs w:val="24"/>
          <w:lang w:eastAsia="cs-CZ"/>
        </w:rPr>
      </w:pPr>
      <w:r w:rsidRPr="006E3DAD">
        <w:rPr>
          <w:rFonts w:eastAsia="Times New Roman" w:cs="Arial"/>
          <w:szCs w:val="24"/>
          <w:lang w:eastAsia="cs-CZ"/>
        </w:rPr>
        <w:t>svpojistovna.cz/o-</w:t>
      </w:r>
      <w:proofErr w:type="spellStart"/>
      <w:r w:rsidRPr="006E3DAD">
        <w:rPr>
          <w:rFonts w:eastAsia="Times New Roman" w:cs="Arial"/>
          <w:szCs w:val="24"/>
          <w:lang w:eastAsia="cs-CZ"/>
        </w:rPr>
        <w:t>spolecnosti</w:t>
      </w:r>
      <w:proofErr w:type="spellEnd"/>
      <w:r w:rsidRPr="006E3DAD">
        <w:rPr>
          <w:rFonts w:eastAsia="Times New Roman" w:cs="Arial"/>
          <w:szCs w:val="24"/>
          <w:lang w:eastAsia="cs-CZ"/>
        </w:rPr>
        <w:t>/ochrana-</w:t>
      </w:r>
      <w:proofErr w:type="spellStart"/>
      <w:r w:rsidRPr="006E3DAD">
        <w:rPr>
          <w:rFonts w:eastAsia="Times New Roman" w:cs="Arial"/>
          <w:szCs w:val="24"/>
          <w:lang w:eastAsia="cs-CZ"/>
        </w:rPr>
        <w:t>osobnich</w:t>
      </w:r>
      <w:proofErr w:type="spellEnd"/>
      <w:r w:rsidRPr="006E3DAD">
        <w:rPr>
          <w:rFonts w:eastAsia="Times New Roman" w:cs="Arial"/>
          <w:szCs w:val="24"/>
          <w:lang w:eastAsia="cs-CZ"/>
        </w:rPr>
        <w:t>-</w:t>
      </w:r>
      <w:proofErr w:type="spellStart"/>
      <w:r w:rsidRPr="006E3DAD">
        <w:rPr>
          <w:rFonts w:eastAsia="Times New Roman" w:cs="Arial"/>
          <w:szCs w:val="24"/>
          <w:lang w:eastAsia="cs-CZ"/>
        </w:rPr>
        <w:t>udaju</w:t>
      </w:r>
      <w:proofErr w:type="spellEnd"/>
      <w:r w:rsidRPr="006E3DAD">
        <w:rPr>
          <w:rFonts w:eastAsia="Times New Roman" w:cs="Arial"/>
          <w:szCs w:val="24"/>
          <w:lang w:eastAsia="cs-CZ"/>
        </w:rPr>
        <w:t>/</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6"/>
          <w:footerReference w:type="default" r:id="rId7"/>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E95C" w14:textId="77777777" w:rsidR="00366F09" w:rsidRDefault="00366F09" w:rsidP="00366F09">
      <w:r>
        <w:separator/>
      </w:r>
    </w:p>
  </w:endnote>
  <w:endnote w:type="continuationSeparator" w:id="0">
    <w:p w14:paraId="3D421873" w14:textId="77777777" w:rsidR="00366F09" w:rsidRDefault="00366F09"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parkasse Rg">
    <w:panose1 w:val="020B0504050602020204"/>
    <w:charset w:val="EE"/>
    <w:family w:val="swiss"/>
    <w:pitch w:val="variable"/>
    <w:sig w:usb0="80000027" w:usb1="50000053" w:usb2="00000000" w:usb3="00000000" w:csb0="00000093" w:csb1="00000000"/>
  </w:font>
  <w:font w:name="Arial">
    <w:panose1 w:val="020B0604020202020204"/>
    <w:charset w:val="EE"/>
    <w:family w:val="swiss"/>
    <w:pitch w:val="variable"/>
    <w:sig w:usb0="E0002EFF" w:usb1="C000785B" w:usb2="00000009" w:usb3="00000000" w:csb0="000001F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D15" w14:textId="264AA90D" w:rsidR="00366F09" w:rsidRDefault="007B66E8">
    <w:pPr>
      <w:pStyle w:val="Zpat"/>
    </w:pPr>
    <w:r>
      <w:rPr>
        <w:noProof/>
      </w:rPr>
      <w:drawing>
        <wp:inline distT="0" distB="0" distL="0" distR="0" wp14:anchorId="19441F48" wp14:editId="63F4ECFD">
          <wp:extent cx="5955609" cy="755650"/>
          <wp:effectExtent l="0" t="0" r="7620"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846" t="66172" r="25436" b="22840"/>
                  <a:stretch/>
                </pic:blipFill>
                <pic:spPr bwMode="auto">
                  <a:xfrm>
                    <a:off x="0" y="0"/>
                    <a:ext cx="6131876" cy="77801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660C" w14:textId="77777777" w:rsidR="00366F09" w:rsidRDefault="00366F09" w:rsidP="00366F09">
      <w:r>
        <w:separator/>
      </w:r>
    </w:p>
  </w:footnote>
  <w:footnote w:type="continuationSeparator" w:id="0">
    <w:p w14:paraId="4822A1B2" w14:textId="77777777" w:rsidR="00366F09" w:rsidRDefault="00366F09" w:rsidP="0036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B97" w14:textId="4087130B" w:rsidR="00366F09" w:rsidRDefault="00366F09">
    <w:pPr>
      <w:pStyle w:val="Zhlav"/>
    </w:pPr>
    <w:r>
      <w:rPr>
        <w:noProof/>
      </w:rPr>
      <w:ptab w:relativeTo="margin" w:alignment="right" w:leader="none"/>
    </w:r>
    <w:r>
      <w:rPr>
        <w:noProof/>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9"/>
    <w:rsid w:val="0007630C"/>
    <w:rsid w:val="001F0C2A"/>
    <w:rsid w:val="00354CCF"/>
    <w:rsid w:val="00366F09"/>
    <w:rsid w:val="0056441A"/>
    <w:rsid w:val="005E2EE9"/>
    <w:rsid w:val="00654F06"/>
    <w:rsid w:val="007449B6"/>
    <w:rsid w:val="00787519"/>
    <w:rsid w:val="007B66E8"/>
    <w:rsid w:val="00AC6FB3"/>
    <w:rsid w:val="00AD0A4A"/>
    <w:rsid w:val="00B44B08"/>
    <w:rsid w:val="00B95155"/>
    <w:rsid w:val="00C94767"/>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49B54"/>
  <w15:docId w15:val="{484B7E7F-C387-4F8D-9BB8-7C783B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styleId="Nevyeenzmnka">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3587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Admin Admin</cp:lastModifiedBy>
  <cp:revision>2</cp:revision>
  <cp:lastPrinted>2022-11-08T10:40:00Z</cp:lastPrinted>
  <dcterms:created xsi:type="dcterms:W3CDTF">2022-12-28T07:19:00Z</dcterms:created>
  <dcterms:modified xsi:type="dcterms:W3CDTF">2022-12-28T07:19:00Z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